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27E6" w14:textId="77777777" w:rsidR="00E11DC4" w:rsidRPr="00265F40" w:rsidRDefault="00E11DC4" w:rsidP="00E11DC4">
      <w:pPr>
        <w:pStyle w:val="Titel"/>
        <w:jc w:val="center"/>
        <w:rPr>
          <w:sz w:val="28"/>
        </w:rPr>
      </w:pPr>
      <w:r w:rsidRPr="00265F40">
        <w:rPr>
          <w:sz w:val="28"/>
        </w:rPr>
        <w:t>Anfrage zur Notwendigkeit einer Beratung durch die Ethikkommission</w:t>
      </w:r>
    </w:p>
    <w:p w14:paraId="592B71C1" w14:textId="77777777" w:rsidR="00E11DC4" w:rsidRDefault="00E11DC4" w:rsidP="00E11DC4">
      <w:pPr>
        <w:pStyle w:val="Untertitel"/>
        <w:jc w:val="center"/>
      </w:pPr>
      <w:r>
        <w:t>Erläuterungen zur Selbstauskunft</w:t>
      </w:r>
    </w:p>
    <w:p w14:paraId="72B7D2BA" w14:textId="77777777" w:rsidR="00FF239E" w:rsidRDefault="003C38A9" w:rsidP="00E11DC4">
      <w:pPr>
        <w:pStyle w:val="berschrift1"/>
      </w:pPr>
      <w:r>
        <w:t>Prozess</w:t>
      </w:r>
    </w:p>
    <w:p w14:paraId="111C0CB4" w14:textId="77777777" w:rsidR="00BA7224" w:rsidRDefault="00FF239E" w:rsidP="00FF239E">
      <w:r>
        <w:t xml:space="preserve">Für viele Forschungsvorhaben ist keine Beratung durch eine (medizinische) Ethikkommission </w:t>
      </w:r>
      <w:r w:rsidR="00522EBC">
        <w:t xml:space="preserve">(EK) </w:t>
      </w:r>
      <w:r>
        <w:t>erforderlich. Trotzdem wird von vielen Zeitschriften vor der Publikation, bzw. von Gremien der Universität vor der Annahme ei</w:t>
      </w:r>
      <w:r w:rsidR="00BA7224">
        <w:t xml:space="preserve">ner Bachelor- oder Masterarbeit, </w:t>
      </w:r>
      <w:r>
        <w:t>bzw. einer Promotions- oder Habilitationsschrift ein Ethikvotum oder eine Stellungnahme</w:t>
      </w:r>
      <w:r w:rsidR="00BA7224">
        <w:t xml:space="preserve"> der Ethikkommission zur nicht vorhandenen Beratungspflicht (Waiver) verlangt. </w:t>
      </w:r>
    </w:p>
    <w:p w14:paraId="7C2014DA" w14:textId="390ED9EB" w:rsidR="00FC38E3" w:rsidRDefault="00522EBC" w:rsidP="00FF239E">
      <w:r>
        <w:t>Um den Aufwand der Forsche</w:t>
      </w:r>
      <w:r w:rsidR="004D36E6">
        <w:t>nden</w:t>
      </w:r>
      <w:r>
        <w:t xml:space="preserve"> bei der Antragstellung und der Medizinischen Ethikkommission bei der Begutachtung </w:t>
      </w:r>
      <w:r w:rsidR="00DC5D04">
        <w:t xml:space="preserve">zu reduzieren, bietet die Ethikkommission </w:t>
      </w:r>
      <w:r>
        <w:t xml:space="preserve">ein Verfahren </w:t>
      </w:r>
      <w:r w:rsidR="00DC5D04">
        <w:t>für die Einschätzung der Notwendigkeit der</w:t>
      </w:r>
      <w:r w:rsidR="00FD0D10">
        <w:t xml:space="preserve"> Beratung durch die Ethikkommission </w:t>
      </w:r>
      <w:r w:rsidR="003C38A9">
        <w:t xml:space="preserve">an. </w:t>
      </w:r>
      <w:r w:rsidR="00035006">
        <w:t>Die antragstellende Person</w:t>
      </w:r>
      <w:r w:rsidR="00F3175F">
        <w:t xml:space="preserve"> stellt dabei eine Anfrage mit dem Formular und erhält basierend auf der S</w:t>
      </w:r>
      <w:r>
        <w:t xml:space="preserve">elbstauskunft </w:t>
      </w:r>
      <w:r w:rsidR="00F3175F">
        <w:t>eine schriftliche Einschätzung von der Geschäftsstelle der Medizinischen Ethikkommis</w:t>
      </w:r>
      <w:r w:rsidR="002C4512">
        <w:t>s</w:t>
      </w:r>
      <w:r w:rsidR="00F3175F">
        <w:t>ion</w:t>
      </w:r>
      <w:r w:rsidR="002C4512">
        <w:t>, sofern diese für den Antragzuständig ist.</w:t>
      </w:r>
    </w:p>
    <w:p w14:paraId="75CCE9A0" w14:textId="77777777" w:rsidR="00360582" w:rsidRDefault="00F4612B" w:rsidP="00E11DC4">
      <w:pPr>
        <w:pStyle w:val="berschrift1"/>
      </w:pPr>
      <w:r>
        <w:t xml:space="preserve">Einfache </w:t>
      </w:r>
      <w:r w:rsidR="00FC38E3">
        <w:t xml:space="preserve">Prüfung </w:t>
      </w:r>
      <w:r w:rsidR="00DC5D04">
        <w:t xml:space="preserve">zur Beratungspflicht </w:t>
      </w:r>
    </w:p>
    <w:p w14:paraId="512B97D5" w14:textId="588C899D" w:rsidR="004B7AF8" w:rsidRDefault="00582FC4" w:rsidP="00BC1349">
      <w:r>
        <w:t xml:space="preserve">Die folgenden Fragen beziehen sich auf das Dokument „Anfrage zur Beratungspflicht“. </w:t>
      </w:r>
      <w:r w:rsidR="00F3175F">
        <w:t>Die Bewertung einfacher Forschungsvorhaben erfolgt in der folgenden Reihenfolge:</w:t>
      </w:r>
    </w:p>
    <w:p w14:paraId="106CB833" w14:textId="60530364" w:rsidR="006362D3" w:rsidRDefault="006362D3" w:rsidP="00886859">
      <w:pPr>
        <w:pStyle w:val="Listenabsatz"/>
        <w:numPr>
          <w:ilvl w:val="0"/>
          <w:numId w:val="5"/>
        </w:numPr>
      </w:pPr>
      <w:r>
        <w:t xml:space="preserve">Wird die Frage 1 mit </w:t>
      </w:r>
      <w:r w:rsidR="006E422F">
        <w:t>„</w:t>
      </w:r>
      <w:r>
        <w:t>Ja</w:t>
      </w:r>
      <w:r w:rsidR="006E422F">
        <w:t>“</w:t>
      </w:r>
      <w:r>
        <w:t xml:space="preserve"> beantwortet</w:t>
      </w:r>
      <w:r w:rsidR="00DA2EFB">
        <w:rPr>
          <w:rStyle w:val="Funotenzeichen"/>
        </w:rPr>
        <w:footnoteReference w:id="1"/>
      </w:r>
      <w:r>
        <w:t xml:space="preserve">, ist eine gesetzlich geregelte </w:t>
      </w:r>
      <w:r w:rsidR="00DA2EFB">
        <w:t xml:space="preserve">Bewertung des Forschungsvorhabens </w:t>
      </w:r>
      <w:r>
        <w:t>durch die zuständige Ethikkommission unabhängig von der Profession de</w:t>
      </w:r>
      <w:r w:rsidR="00035006">
        <w:t>r antragstellenden Person</w:t>
      </w:r>
      <w:r>
        <w:t xml:space="preserve"> erforderlich</w:t>
      </w:r>
      <w:r w:rsidR="00AE6410">
        <w:t>.</w:t>
      </w:r>
      <w:r w:rsidR="00886859">
        <w:br/>
      </w:r>
      <w:r w:rsidR="00886859" w:rsidRPr="00886859">
        <w:rPr>
          <w:b/>
        </w:rPr>
        <w:t>sonst gilt</w:t>
      </w:r>
    </w:p>
    <w:p w14:paraId="35E32CA2" w14:textId="7225EDD8" w:rsidR="00352BD1" w:rsidRPr="00352BD1" w:rsidRDefault="00BC1349" w:rsidP="007473A0">
      <w:pPr>
        <w:pStyle w:val="Listenabsatz"/>
        <w:numPr>
          <w:ilvl w:val="0"/>
          <w:numId w:val="5"/>
        </w:numPr>
      </w:pPr>
      <w:r>
        <w:t xml:space="preserve">Wird eine der Fragen </w:t>
      </w:r>
      <w:r w:rsidR="006362D3">
        <w:t>2a</w:t>
      </w:r>
      <w:r w:rsidR="007473A0">
        <w:t xml:space="preserve"> - </w:t>
      </w:r>
      <w:r w:rsidR="006362D3">
        <w:t>2c</w:t>
      </w:r>
      <w:r w:rsidR="0076551C">
        <w:t xml:space="preserve"> </w:t>
      </w:r>
      <w:r>
        <w:t xml:space="preserve">mit </w:t>
      </w:r>
      <w:r w:rsidR="006E422F">
        <w:t>„</w:t>
      </w:r>
      <w:r>
        <w:t>Ja</w:t>
      </w:r>
      <w:r w:rsidR="006E422F">
        <w:t>“</w:t>
      </w:r>
      <w:r>
        <w:t xml:space="preserve"> beantwortet </w:t>
      </w:r>
      <w:r w:rsidR="00582FC4">
        <w:t>und</w:t>
      </w:r>
      <w:r>
        <w:t xml:space="preserve"> ist </w:t>
      </w:r>
      <w:r w:rsidR="001819D6">
        <w:t xml:space="preserve"> ein*e Ärzt*in</w:t>
      </w:r>
      <w:r>
        <w:t xml:space="preserve"> (Frage 3a) an dem Forschungsvorhaben beteiligt </w:t>
      </w:r>
      <w:r w:rsidR="004B7AF8">
        <w:t>muss eine Beratung durch die m</w:t>
      </w:r>
      <w:r>
        <w:t>edizinische Ethikkommission erfolgen</w:t>
      </w:r>
      <w:r w:rsidR="004B7AF8">
        <w:t>.</w:t>
      </w:r>
      <w:r w:rsidR="00FC38E3">
        <w:t xml:space="preserve"> </w:t>
      </w:r>
      <w:r w:rsidR="00886859">
        <w:br/>
      </w:r>
      <w:r w:rsidR="00886859" w:rsidRPr="00886859">
        <w:rPr>
          <w:b/>
        </w:rPr>
        <w:t>sonst gilt</w:t>
      </w:r>
    </w:p>
    <w:p w14:paraId="67340DDA" w14:textId="2E3B234E" w:rsidR="00BC1349" w:rsidRDefault="00FC38E3" w:rsidP="00886859">
      <w:pPr>
        <w:pStyle w:val="Listenabsatz"/>
        <w:numPr>
          <w:ilvl w:val="0"/>
          <w:numId w:val="5"/>
        </w:numPr>
      </w:pPr>
      <w:r>
        <w:t>Wird eine der Fragen</w:t>
      </w:r>
      <w:r w:rsidR="00AE6410">
        <w:t xml:space="preserve"> 2a</w:t>
      </w:r>
      <w:r w:rsidR="00EA5A7B">
        <w:t xml:space="preserve"> </w:t>
      </w:r>
      <w:r w:rsidR="007473A0">
        <w:t xml:space="preserve">- </w:t>
      </w:r>
      <w:r w:rsidR="00AE6410">
        <w:t>2</w:t>
      </w:r>
      <w:r>
        <w:t>c</w:t>
      </w:r>
      <w:r w:rsidR="0076551C">
        <w:t xml:space="preserve"> m</w:t>
      </w:r>
      <w:r>
        <w:t xml:space="preserve">it </w:t>
      </w:r>
      <w:r w:rsidR="006E422F">
        <w:t>„</w:t>
      </w:r>
      <w:r>
        <w:t>Ja</w:t>
      </w:r>
      <w:r w:rsidR="006E422F">
        <w:t>“</w:t>
      </w:r>
      <w:r>
        <w:t xml:space="preserve"> beantwortet </w:t>
      </w:r>
      <w:r w:rsidR="00582FC4">
        <w:t>und</w:t>
      </w:r>
      <w:r>
        <w:t xml:space="preserve"> ist</w:t>
      </w:r>
      <w:r w:rsidR="004B7AF8">
        <w:t xml:space="preserve"> </w:t>
      </w:r>
      <w:r w:rsidR="001819D6">
        <w:t>ein*e Psychotherapeut*in</w:t>
      </w:r>
      <w:r w:rsidR="004B7AF8">
        <w:t xml:space="preserve"> beteiligt, muss eine Beratung durch eine Ethikkommission erfolgen</w:t>
      </w:r>
      <w:r w:rsidR="009F1984">
        <w:t>.</w:t>
      </w:r>
      <w:r w:rsidR="004B7AF8">
        <w:t xml:space="preserve"> </w:t>
      </w:r>
      <w:r w:rsidR="00DA2EFB">
        <w:br/>
      </w:r>
      <w:r w:rsidR="004B7AF8">
        <w:t xml:space="preserve">(Je nach Wahl </w:t>
      </w:r>
      <w:r w:rsidR="00582FC4">
        <w:t>der antragstellenden Person</w:t>
      </w:r>
      <w:r w:rsidR="004B7AF8">
        <w:t xml:space="preserve"> </w:t>
      </w:r>
      <w:r w:rsidR="001819D6">
        <w:t xml:space="preserve">durch die </w:t>
      </w:r>
      <w:r w:rsidR="004B7AF8">
        <w:t>Senatskommission oder</w:t>
      </w:r>
      <w:r w:rsidR="001819D6">
        <w:t xml:space="preserve"> die</w:t>
      </w:r>
      <w:r w:rsidR="004B7AF8">
        <w:t xml:space="preserve"> </w:t>
      </w:r>
      <w:r w:rsidR="00670E07">
        <w:t>m</w:t>
      </w:r>
      <w:r w:rsidR="004B7AF8">
        <w:t>edizinische Ethikkommission)</w:t>
      </w:r>
      <w:r w:rsidR="00886859">
        <w:br/>
      </w:r>
      <w:r w:rsidR="00886859" w:rsidRPr="00886859">
        <w:rPr>
          <w:b/>
        </w:rPr>
        <w:t>sonst gilt</w:t>
      </w:r>
    </w:p>
    <w:p w14:paraId="0750DC35" w14:textId="37889F70" w:rsidR="00697CE5" w:rsidRDefault="00FC38E3" w:rsidP="00254E43">
      <w:pPr>
        <w:pStyle w:val="Listenabsatz"/>
        <w:numPr>
          <w:ilvl w:val="0"/>
          <w:numId w:val="5"/>
        </w:numPr>
      </w:pPr>
      <w:r>
        <w:t>Wird eine der Fragen</w:t>
      </w:r>
      <w:r w:rsidR="00EA5A7B">
        <w:t xml:space="preserve"> 2a</w:t>
      </w:r>
      <w:r w:rsidR="007473A0">
        <w:t xml:space="preserve"> - 2c </w:t>
      </w:r>
      <w:r>
        <w:t xml:space="preserve">mit </w:t>
      </w:r>
      <w:r w:rsidR="006E422F">
        <w:t>„J</w:t>
      </w:r>
      <w:r>
        <w:t>a</w:t>
      </w:r>
      <w:r w:rsidR="006E422F">
        <w:t>“</w:t>
      </w:r>
      <w:r>
        <w:t xml:space="preserve"> beantwo</w:t>
      </w:r>
      <w:r w:rsidR="00AE6410">
        <w:t xml:space="preserve">rtet und ist weder </w:t>
      </w:r>
      <w:r w:rsidR="001819D6">
        <w:t>ein*e Ärzt*in noch ein*e Psychotherapeutin*in</w:t>
      </w:r>
      <w:r w:rsidR="00AE6410">
        <w:t xml:space="preserve"> beteiligt</w:t>
      </w:r>
      <w:r w:rsidR="00697CE5">
        <w:t>,</w:t>
      </w:r>
      <w:r w:rsidR="00AE6410">
        <w:t xml:space="preserve"> besteht keine gesetzliche oder berufsrechtliche Beratungspflicht. Allerdings wird in diesem Fall eine freiwillige Beratung empfohlen</w:t>
      </w:r>
      <w:r w:rsidR="00670E07">
        <w:t>.</w:t>
      </w:r>
      <w:r w:rsidR="00DA2EFB">
        <w:br/>
        <w:t>(</w:t>
      </w:r>
      <w:r w:rsidR="00697CE5">
        <w:t>Ggf. besteht eine Beratungspflicht bei der Kommission für Forschungsfolgenabschätzung und Ethik)</w:t>
      </w:r>
    </w:p>
    <w:p w14:paraId="53045D94" w14:textId="445EE3AA" w:rsidR="00254E43" w:rsidRPr="001846EE" w:rsidRDefault="00254E43" w:rsidP="00697CE5">
      <w:pPr>
        <w:pStyle w:val="Listenabsatz"/>
      </w:pPr>
      <w:r w:rsidRPr="00886859">
        <w:rPr>
          <w:b/>
        </w:rPr>
        <w:lastRenderedPageBreak/>
        <w:t>sonst gilt</w:t>
      </w:r>
    </w:p>
    <w:p w14:paraId="6986DA7E" w14:textId="0F5957BE" w:rsidR="00254E43" w:rsidRDefault="00254E43" w:rsidP="00254E43">
      <w:pPr>
        <w:pStyle w:val="Listenabsatz"/>
        <w:numPr>
          <w:ilvl w:val="0"/>
          <w:numId w:val="5"/>
        </w:numPr>
      </w:pPr>
      <w:r w:rsidRPr="00254E43">
        <w:t>Es besteht keine gesetzliche oder berufsrechtliche Beratungspflicht durch eine</w:t>
      </w:r>
      <w:r w:rsidR="00AD6CB6">
        <w:t xml:space="preserve"> </w:t>
      </w:r>
      <w:r w:rsidRPr="00254E43">
        <w:t>Ethikkommis</w:t>
      </w:r>
      <w:r w:rsidR="00DA2EFB">
        <w:t>s</w:t>
      </w:r>
      <w:r w:rsidRPr="00254E43">
        <w:t>ion</w:t>
      </w:r>
      <w:r w:rsidR="00DA2EFB">
        <w:t>.</w:t>
      </w:r>
    </w:p>
    <w:p w14:paraId="7DB53966" w14:textId="77777777" w:rsidR="001147C2" w:rsidRDefault="001147C2" w:rsidP="001147C2">
      <w:pPr>
        <w:pStyle w:val="berschrift1"/>
      </w:pPr>
      <w:r>
        <w:t>Beratungspflicht bei Humanproben</w:t>
      </w:r>
    </w:p>
    <w:p w14:paraId="10D06C29" w14:textId="7FF30340" w:rsidR="001147C2" w:rsidRDefault="001147C2" w:rsidP="001147C2">
      <w:r w:rsidRPr="00697CE5">
        <w:rPr>
          <w:b/>
        </w:rPr>
        <w:t xml:space="preserve">DNA tragendes Biomaterial </w:t>
      </w:r>
      <w:r w:rsidRPr="00033B74">
        <w:t>muss nach</w:t>
      </w:r>
      <w:r>
        <w:t xml:space="preserve"> Art. 4 Nr. 13 DSGVO als personenbezogen angesehen werden - auch ohne Vergleichsprobe. Der forscherische Umgang mit Biomaterial ist daher in jedem Fall ein datenschutzrechtlich relevanter Verarbeitungsvorgang (mindestens der Speicherung), unter Umständen schweigepflichtsrechtlich relevant und fällt als „Forschung mit personenbeziehbaren Daten“ unter § 15 BO</w:t>
      </w:r>
      <w:r w:rsidR="00697CE5">
        <w:t xml:space="preserve"> ÄKN</w:t>
      </w:r>
      <w:r>
        <w:t xml:space="preserve">. Eine Weitergabe an Dritte bedarf </w:t>
      </w:r>
      <w:r w:rsidR="00697CE5">
        <w:t>grundsätzlich</w:t>
      </w:r>
      <w:r>
        <w:t xml:space="preserve"> einer Rechtsgrundlage, meist in Form der Einwilligung.</w:t>
      </w:r>
    </w:p>
    <w:p w14:paraId="2B7E0824" w14:textId="0B179816" w:rsidR="001147C2" w:rsidRDefault="001147C2" w:rsidP="001147C2">
      <w:r w:rsidRPr="00697CE5">
        <w:rPr>
          <w:b/>
        </w:rPr>
        <w:t>Daten</w:t>
      </w:r>
      <w:r>
        <w:t xml:space="preserve"> </w:t>
      </w:r>
      <w:r w:rsidRPr="00697CE5">
        <w:rPr>
          <w:b/>
        </w:rPr>
        <w:t>und Biomaterial Verstorbener:</w:t>
      </w:r>
      <w:r w:rsidRPr="00033B74">
        <w:t xml:space="preserve"> Unabhängig</w:t>
      </w:r>
      <w:r>
        <w:t xml:space="preserve"> davon, dass der Datenschutz im Sinne der DSGVO mit dem Tod endet gelten die Grundsätze des allgemeinen Persönlichkeitsrechtes </w:t>
      </w:r>
      <w:r w:rsidR="00033B74">
        <w:t>fort und es können auch immer mittelbar Daten noch lebender Verwandter betroffen und damit Datenschutzrecht weiterhin zu berücksichtigen sein.</w:t>
      </w:r>
    </w:p>
    <w:p w14:paraId="23323DEA" w14:textId="27FE6BAA" w:rsidR="00033B74" w:rsidRPr="001147C2" w:rsidRDefault="00033B74" w:rsidP="00697CE5">
      <w:r w:rsidRPr="00033B74">
        <w:t>Desse</w:t>
      </w:r>
      <w:r w:rsidRPr="00424A34">
        <w:t>n unbeschadet wirkt der</w:t>
      </w:r>
      <w:r>
        <w:t xml:space="preserve"> Berufsgeheimnisschutz (§ 203 StGB) über den Tod hinaus. Eine Weitergabe von personenbezogenen oder -beziehbaren Daten außerhalb des Kreises der zum Wissen Berufenen (Behandler*in und deren Hilfspersonen) stellt ein Offenbaren dar, das als Rechtfertigung eine gesetzliche Grundlage (z.B. nach Krebsregistergesetz oder Landeskrankenhausgesetzen in deren meist eng definierten Grenzen, Zwecken und Empfängerkreisen) oder eine </w:t>
      </w:r>
      <w:r w:rsidR="00697CE5">
        <w:t xml:space="preserve">(mutmaßliche) </w:t>
      </w:r>
      <w:r>
        <w:t>Einwilligung der betroffenen Person zu ihren Lebzeiten erfordert.</w:t>
      </w:r>
    </w:p>
    <w:p w14:paraId="75790AE8" w14:textId="77777777" w:rsidR="00BC1349" w:rsidRDefault="00F4612B" w:rsidP="00E11DC4">
      <w:pPr>
        <w:pStyle w:val="berschrift1"/>
      </w:pPr>
      <w:r>
        <w:t>Sonderfälle</w:t>
      </w:r>
    </w:p>
    <w:p w14:paraId="3FA45F24" w14:textId="0316D2FE" w:rsidR="00E376BC" w:rsidRDefault="0037754B" w:rsidP="004F217F">
      <w:pPr>
        <w:pStyle w:val="berschrift2"/>
      </w:pPr>
      <w:r>
        <w:t>Unterstützung</w:t>
      </w:r>
      <w:r w:rsidR="00670E07">
        <w:t xml:space="preserve"> </w:t>
      </w:r>
      <w:r>
        <w:t>in Kooperationsprojekten</w:t>
      </w:r>
    </w:p>
    <w:p w14:paraId="1FE2C178" w14:textId="34B65C36" w:rsidR="0037754B" w:rsidRDefault="00036DA8" w:rsidP="0037754B">
      <w:r>
        <w:t xml:space="preserve">Unterstützt </w:t>
      </w:r>
      <w:r w:rsidR="00670E07">
        <w:t>die antragstellende Person</w:t>
      </w:r>
      <w:r>
        <w:t xml:space="preserve"> einen Kooperationspartner</w:t>
      </w:r>
      <w:r w:rsidR="0037754B">
        <w:t xml:space="preserve"> bei der Beantwortung eine</w:t>
      </w:r>
      <w:r w:rsidR="00AA0169">
        <w:t>r</w:t>
      </w:r>
      <w:r w:rsidR="0037754B">
        <w:t xml:space="preserve"> Forschung</w:t>
      </w:r>
      <w:r w:rsidR="00AA0EDC">
        <w:t>sfrage ausschließlich durch die</w:t>
      </w:r>
      <w:r w:rsidR="0037754B">
        <w:t xml:space="preserve"> Verarbeitung oder Analyse von Daten oder Körpermaterialien</w:t>
      </w:r>
      <w:r w:rsidR="00697CE5">
        <w:t>,</w:t>
      </w:r>
      <w:r w:rsidR="0037754B">
        <w:t xml:space="preserve"> ohne das</w:t>
      </w:r>
      <w:r w:rsidR="00697CE5">
        <w:t>s</w:t>
      </w:r>
      <w:r w:rsidR="0037754B">
        <w:t xml:space="preserve"> von Seiten der </w:t>
      </w:r>
      <w:r w:rsidR="00670E07">
        <w:t>a</w:t>
      </w:r>
      <w:r w:rsidR="0037754B">
        <w:t xml:space="preserve">nfragenden </w:t>
      </w:r>
      <w:r w:rsidR="00670E07">
        <w:t>bzw.</w:t>
      </w:r>
      <w:r w:rsidR="0037754B">
        <w:t xml:space="preserve"> </w:t>
      </w:r>
      <w:r w:rsidR="00670E07">
        <w:t>a</w:t>
      </w:r>
      <w:r w:rsidR="0037754B">
        <w:t>ntragstelle</w:t>
      </w:r>
      <w:r w:rsidR="009F1984">
        <w:t>nden</w:t>
      </w:r>
      <w:r w:rsidR="0037754B">
        <w:t xml:space="preserve"> </w:t>
      </w:r>
      <w:r w:rsidR="00670E07">
        <w:t xml:space="preserve">Person </w:t>
      </w:r>
      <w:r w:rsidR="0037754B">
        <w:t xml:space="preserve">ein Personenbezug hergestellt werden kann (3a und 3b mit </w:t>
      </w:r>
      <w:r w:rsidR="00670E07">
        <w:t>„</w:t>
      </w:r>
      <w:r w:rsidR="00224F49">
        <w:rPr>
          <w:b/>
        </w:rPr>
        <w:t>N</w:t>
      </w:r>
      <w:r w:rsidR="0037754B" w:rsidRPr="00AA0169">
        <w:rPr>
          <w:b/>
        </w:rPr>
        <w:t>ein</w:t>
      </w:r>
      <w:r w:rsidR="00670E07">
        <w:rPr>
          <w:b/>
        </w:rPr>
        <w:t>“</w:t>
      </w:r>
      <w:r w:rsidR="0037754B">
        <w:t xml:space="preserve"> beantwortet) und liegt bereits ein </w:t>
      </w:r>
      <w:r w:rsidR="001F6620">
        <w:t xml:space="preserve">Votum einer (medizinischen) Ethikkommission </w:t>
      </w:r>
      <w:r w:rsidR="0037754B">
        <w:t>für dieses Forschungsvorhaben vor</w:t>
      </w:r>
      <w:r w:rsidR="00670E07">
        <w:t>,</w:t>
      </w:r>
      <w:r w:rsidR="00033B74">
        <w:t xml:space="preserve"> </w:t>
      </w:r>
      <w:r w:rsidR="0037754B" w:rsidRPr="007B361F">
        <w:rPr>
          <w:b/>
        </w:rPr>
        <w:t xml:space="preserve">ist kein Ethikvotum </w:t>
      </w:r>
      <w:r w:rsidR="00656E12" w:rsidRPr="007B361F">
        <w:rPr>
          <w:b/>
        </w:rPr>
        <w:t xml:space="preserve">durch die </w:t>
      </w:r>
      <w:r w:rsidR="00127D06" w:rsidRPr="007B361F">
        <w:rPr>
          <w:b/>
        </w:rPr>
        <w:t>med</w:t>
      </w:r>
      <w:r w:rsidR="006E422F">
        <w:rPr>
          <w:b/>
        </w:rPr>
        <w:t>izinische</w:t>
      </w:r>
      <w:r w:rsidR="00127D06" w:rsidRPr="007B361F">
        <w:rPr>
          <w:b/>
        </w:rPr>
        <w:t xml:space="preserve"> </w:t>
      </w:r>
      <w:r w:rsidR="00656E12" w:rsidRPr="007B361F">
        <w:rPr>
          <w:b/>
        </w:rPr>
        <w:t>E</w:t>
      </w:r>
      <w:r w:rsidR="006E422F">
        <w:rPr>
          <w:b/>
        </w:rPr>
        <w:t>thikkommission</w:t>
      </w:r>
      <w:r w:rsidR="00656E12" w:rsidRPr="007B361F">
        <w:rPr>
          <w:b/>
        </w:rPr>
        <w:t xml:space="preserve"> der Uni-Oldenburg </w:t>
      </w:r>
      <w:r w:rsidR="0037754B" w:rsidRPr="007B361F">
        <w:rPr>
          <w:b/>
        </w:rPr>
        <w:t>erforderlich.</w:t>
      </w:r>
      <w:r w:rsidR="0037754B">
        <w:t xml:space="preserve"> </w:t>
      </w:r>
    </w:p>
    <w:p w14:paraId="5924E6D1" w14:textId="2D6B0021" w:rsidR="00BC1349" w:rsidRDefault="0008329D" w:rsidP="004F217F">
      <w:pPr>
        <w:pStyle w:val="berschrift2"/>
      </w:pPr>
      <w:bookmarkStart w:id="0" w:name="_Ref470965368"/>
      <w:r>
        <w:t>Register, Kohorten und Bio</w:t>
      </w:r>
      <w:bookmarkEnd w:id="0"/>
      <w:r w:rsidR="00697CE5">
        <w:t>probensammlungen</w:t>
      </w:r>
    </w:p>
    <w:p w14:paraId="77B7D20A" w14:textId="3CCE156E" w:rsidR="001375A8" w:rsidRDefault="001375A8" w:rsidP="00BC1349">
      <w:r>
        <w:t xml:space="preserve">Beim Aufbau </w:t>
      </w:r>
      <w:r w:rsidR="00EA5A7B">
        <w:t xml:space="preserve">von </w:t>
      </w:r>
      <w:r w:rsidR="00352BD1">
        <w:t>systematischen Daten- und Bio</w:t>
      </w:r>
      <w:r w:rsidR="00697CE5">
        <w:t>proben</w:t>
      </w:r>
      <w:r w:rsidR="00352BD1">
        <w:t xml:space="preserve">sammlungen </w:t>
      </w:r>
      <w:r>
        <w:t xml:space="preserve">ist zwischen der </w:t>
      </w:r>
      <w:r w:rsidRPr="00C5144A">
        <w:rPr>
          <w:b/>
        </w:rPr>
        <w:t>Zentrale</w:t>
      </w:r>
      <w:r>
        <w:t xml:space="preserve"> (Studienzentrale, Registerzentrale, Sponsor)</w:t>
      </w:r>
      <w:r w:rsidR="00697CE5">
        <w:t>,</w:t>
      </w:r>
      <w:r>
        <w:t xml:space="preserve"> die für die Gesamtorganisation des Forschungsvorhabens und den Betrieb der Infrastruktur verantwortlich ist</w:t>
      </w:r>
      <w:r w:rsidR="00670E07">
        <w:t xml:space="preserve">, </w:t>
      </w:r>
      <w:r>
        <w:t xml:space="preserve">den einzelnen </w:t>
      </w:r>
      <w:r w:rsidRPr="00C5144A">
        <w:rPr>
          <w:b/>
        </w:rPr>
        <w:t xml:space="preserve">Zentren </w:t>
      </w:r>
      <w:r>
        <w:t xml:space="preserve">(Studienzentrum, Prüfstellen), die </w:t>
      </w:r>
      <w:r w:rsidR="006E422F">
        <w:t>Patienten und Patientinnen</w:t>
      </w:r>
      <w:r>
        <w:t xml:space="preserve"> rekrutieren bzw. Daten erheben </w:t>
      </w:r>
      <w:r w:rsidR="006E422F">
        <w:t xml:space="preserve">sowie </w:t>
      </w:r>
      <w:r>
        <w:t xml:space="preserve">den </w:t>
      </w:r>
      <w:r w:rsidRPr="00C5144A">
        <w:rPr>
          <w:b/>
        </w:rPr>
        <w:t>Nutze</w:t>
      </w:r>
      <w:r w:rsidR="006E422F">
        <w:rPr>
          <w:b/>
        </w:rPr>
        <w:t>nden</w:t>
      </w:r>
      <w:r w:rsidR="00C5144A">
        <w:t xml:space="preserve"> (Forsche</w:t>
      </w:r>
      <w:r w:rsidR="006E422F">
        <w:t>nden</w:t>
      </w:r>
      <w:r w:rsidR="00C5144A">
        <w:t>)</w:t>
      </w:r>
      <w:r>
        <w:t>, die Daten- oder Probenanfragen an die Zentrale stellen</w:t>
      </w:r>
      <w:r w:rsidR="006E422F">
        <w:t>,</w:t>
      </w:r>
      <w:r>
        <w:t xml:space="preserve"> zu unterscheiden. </w:t>
      </w:r>
    </w:p>
    <w:p w14:paraId="6201BBF9" w14:textId="05617420" w:rsidR="00CD3662" w:rsidRDefault="00CD3662" w:rsidP="00BC1349">
      <w:r w:rsidRPr="00C5144A">
        <w:rPr>
          <w:b/>
        </w:rPr>
        <w:t>Die Zentrale</w:t>
      </w:r>
      <w:r w:rsidR="00C5144A">
        <w:t xml:space="preserve"> benötigt </w:t>
      </w:r>
      <w:r>
        <w:t xml:space="preserve">ein Betriebskonzept, welches Bestandteil eines konsentierten Datenschutzkonzeptes und der </w:t>
      </w:r>
      <w:r w:rsidR="00C5144A">
        <w:t xml:space="preserve">durch </w:t>
      </w:r>
      <w:r>
        <w:t>die zuständige (medizinische) Ethikkommission</w:t>
      </w:r>
      <w:r w:rsidR="00C5144A">
        <w:t xml:space="preserve"> begutachteten </w:t>
      </w:r>
      <w:r w:rsidR="00C5144A">
        <w:lastRenderedPageBreak/>
        <w:t>Unterlagen</w:t>
      </w:r>
      <w:r>
        <w:t xml:space="preserve"> ist. Die Festschreibung von Regeln für die Datennutzung (Use &amp; Access Regeln) sind Bes</w:t>
      </w:r>
      <w:r w:rsidR="00C5144A">
        <w:t>tandteil des Betriebskonzeptes und werden ebenfalls von DSB und EK geprüft.</w:t>
      </w:r>
      <w:r w:rsidR="005B70C1">
        <w:t xml:space="preserve"> (Wird die Frage </w:t>
      </w:r>
      <w:r w:rsidR="002C4512">
        <w:t xml:space="preserve">3b mit </w:t>
      </w:r>
      <w:r w:rsidR="00224F49">
        <w:t>„</w:t>
      </w:r>
      <w:r w:rsidR="002C4512" w:rsidRPr="002C4512">
        <w:rPr>
          <w:b/>
        </w:rPr>
        <w:t>Ja</w:t>
      </w:r>
      <w:r w:rsidR="00224F49">
        <w:rPr>
          <w:b/>
        </w:rPr>
        <w:t>“</w:t>
      </w:r>
      <w:r w:rsidR="002C4512">
        <w:t xml:space="preserve"> beantwortet, ist eine Beratung durch die Ethikkommission erforderlich, auch wenn die Studienzentrale keinen Kontakt mit personenbeziehbaren Daten oder Körpermaterialien hat.)</w:t>
      </w:r>
    </w:p>
    <w:p w14:paraId="7795207C" w14:textId="1A27C154" w:rsidR="00CD3662" w:rsidRDefault="00CD3662" w:rsidP="00BC1349">
      <w:r w:rsidRPr="00C5144A">
        <w:rPr>
          <w:b/>
        </w:rPr>
        <w:t>Die Studienzentren</w:t>
      </w:r>
      <w:r>
        <w:t xml:space="preserve"> benötigen ebenfalls vor dem Einschluss </w:t>
      </w:r>
      <w:r w:rsidR="00582FC4">
        <w:t>der Patient</w:t>
      </w:r>
      <w:r w:rsidR="006E422F">
        <w:t>*innen</w:t>
      </w:r>
      <w:r>
        <w:t xml:space="preserve"> eine </w:t>
      </w:r>
      <w:r w:rsidR="00C5144A">
        <w:t xml:space="preserve">Stellungnahme durch </w:t>
      </w:r>
      <w:r w:rsidR="00935A73">
        <w:t xml:space="preserve">die Stabstelle für Datenschutz- und Informationssicherheitsmanagement, </w:t>
      </w:r>
      <w:r w:rsidR="00C5144A">
        <w:t>d</w:t>
      </w:r>
      <w:r w:rsidR="006E422F">
        <w:t>ie</w:t>
      </w:r>
      <w:r w:rsidR="00224F49">
        <w:t>*den</w:t>
      </w:r>
      <w:r w:rsidR="00C5144A">
        <w:t xml:space="preserve"> zuständige</w:t>
      </w:r>
      <w:r w:rsidR="00224F49">
        <w:t>*n</w:t>
      </w:r>
      <w:r w:rsidR="006E422F">
        <w:t xml:space="preserve"> </w:t>
      </w:r>
      <w:r w:rsidR="00224F49">
        <w:t>Datenschutzbeauftragte*n</w:t>
      </w:r>
      <w:r w:rsidR="006E422F">
        <w:t xml:space="preserve"> </w:t>
      </w:r>
      <w:r>
        <w:t xml:space="preserve">sowie </w:t>
      </w:r>
      <w:r w:rsidR="00C5144A">
        <w:t>eine Beratung durch die (medizinische) Ethikkommission.</w:t>
      </w:r>
      <w:r w:rsidR="00BA7224">
        <w:t xml:space="preserve"> (Frage 3a mit „Ja“ beantwor</w:t>
      </w:r>
      <w:r w:rsidR="002C4512">
        <w:t>tet)</w:t>
      </w:r>
    </w:p>
    <w:p w14:paraId="3BFAFA52" w14:textId="001C98F4" w:rsidR="00582FC4" w:rsidRDefault="00414905" w:rsidP="005767F3">
      <w:pPr>
        <w:rPr>
          <w:b/>
        </w:rPr>
      </w:pPr>
      <w:r>
        <w:t>In den Use &amp; Access Regeln des Betriebskonzept</w:t>
      </w:r>
      <w:r w:rsidR="00DA2EFB">
        <w:t>es</w:t>
      </w:r>
      <w:r>
        <w:t xml:space="preserve"> ist festgelegt, wie bei einer Anfrage durch </w:t>
      </w:r>
      <w:r w:rsidR="006E422F">
        <w:rPr>
          <w:b/>
        </w:rPr>
        <w:t>Nutzende</w:t>
      </w:r>
      <w:r>
        <w:t xml:space="preserve"> die Zulässigkeit geprüft wird. Dies erfolgt in der Regel durch eine Ethikkommissio</w:t>
      </w:r>
      <w:r w:rsidR="00DA2EFB">
        <w:t xml:space="preserve">n oder ein </w:t>
      </w:r>
      <w:r>
        <w:t>unabhängiges Reviewboard</w:t>
      </w:r>
      <w:r w:rsidR="00DA2EFB">
        <w:rPr>
          <w:rStyle w:val="Funotenzeichen"/>
        </w:rPr>
        <w:footnoteReference w:id="2"/>
      </w:r>
      <w:r w:rsidR="00DA2EFB">
        <w:t xml:space="preserve"> und wird durch diese bescheinigt</w:t>
      </w:r>
      <w:r>
        <w:t>.</w:t>
      </w:r>
      <w:r w:rsidR="00AA0EDC">
        <w:t xml:space="preserve"> In diesem Fall reicht das Votum zum Betrieb und der Prüfung. </w:t>
      </w:r>
      <w:r w:rsidR="00B5110C">
        <w:rPr>
          <w:b/>
        </w:rPr>
        <w:t>Es</w:t>
      </w:r>
      <w:r w:rsidRPr="00DA2EFB">
        <w:rPr>
          <w:b/>
        </w:rPr>
        <w:t xml:space="preserve"> ist kein</w:t>
      </w:r>
      <w:r w:rsidR="0050461E" w:rsidRPr="00DA2EFB">
        <w:rPr>
          <w:b/>
        </w:rPr>
        <w:t>e</w:t>
      </w:r>
      <w:r w:rsidRPr="00DA2EFB">
        <w:rPr>
          <w:b/>
        </w:rPr>
        <w:t xml:space="preserve"> </w:t>
      </w:r>
      <w:r w:rsidR="0050461E" w:rsidRPr="00DA2EFB">
        <w:rPr>
          <w:b/>
        </w:rPr>
        <w:t xml:space="preserve">weitere Beratung durch die (medizinische) Ethikkommission erforderlich, </w:t>
      </w:r>
      <w:r w:rsidR="0050461E" w:rsidRPr="0050461E">
        <w:rPr>
          <w:b/>
        </w:rPr>
        <w:t>allerdings kann die EK auch keine Bescheinigung ausstellen</w:t>
      </w:r>
      <w:r w:rsidR="00AA0EDC">
        <w:rPr>
          <w:b/>
        </w:rPr>
        <w:t>.</w:t>
      </w:r>
    </w:p>
    <w:p w14:paraId="03AE3B34" w14:textId="77777777" w:rsidR="004D01B1" w:rsidRDefault="004D01B1" w:rsidP="004F217F">
      <w:pPr>
        <w:pStyle w:val="berschrift2"/>
      </w:pPr>
      <w:r>
        <w:t xml:space="preserve">Sekundäre Datennutzung von Routinedaten </w:t>
      </w:r>
      <w:r w:rsidR="00954F1E">
        <w:br/>
      </w:r>
      <w:r>
        <w:t>über die Klinik-IT-Infrastruktur</w:t>
      </w:r>
    </w:p>
    <w:p w14:paraId="4E21ED4A" w14:textId="1B19133F" w:rsidR="00842E4E" w:rsidRDefault="00954F1E" w:rsidP="004D01B1">
      <w:r>
        <w:t xml:space="preserve">Elektronisch erfasste </w:t>
      </w:r>
      <w:r w:rsidR="00B5110C">
        <w:t>Daten von Patient*innen</w:t>
      </w:r>
      <w:r>
        <w:t>, die im Rahmen der Behandlung angefallen (Routinedaten)</w:t>
      </w:r>
      <w:r w:rsidR="009B0AAF">
        <w:t xml:space="preserve"> </w:t>
      </w:r>
      <w:r>
        <w:t xml:space="preserve">sind, </w:t>
      </w:r>
      <w:r w:rsidR="00B15E41">
        <w:t>können automatisiert</w:t>
      </w:r>
      <w:r w:rsidR="00CE7F66">
        <w:t xml:space="preserve"> aus den klinischen Informationssystemen oder speziellen Clinical Data Warehouse Sys</w:t>
      </w:r>
      <w:r w:rsidR="00B15E41">
        <w:t xml:space="preserve">temen (CDWH) abgefragt werden. CDWH- Systeme werden meist mit der Zweckbestimmung der </w:t>
      </w:r>
      <w:r w:rsidR="00CE7F66">
        <w:t>Unternehmenssteuerung und Qualitätssicherung betrieben. (Kein Forschungsbezug, daher keine Beratungspflicht durch einen Ethikkommission).</w:t>
      </w:r>
      <w:r w:rsidR="00B762A0">
        <w:t xml:space="preserve"> </w:t>
      </w:r>
      <w:r w:rsidR="00842E4E" w:rsidRPr="00842E4E">
        <w:t>Für die Nutzung dieser Daten durch die Forsch</w:t>
      </w:r>
      <w:r w:rsidR="00842E4E">
        <w:t xml:space="preserve">ung gibt es zwei Möglichkeiten: Die Zweckänderung der Daten </w:t>
      </w:r>
      <w:r w:rsidR="00B5110C">
        <w:t>oder</w:t>
      </w:r>
      <w:r w:rsidR="00842E4E">
        <w:t xml:space="preserve"> die Zweckänderung des IT-Systems.</w:t>
      </w:r>
    </w:p>
    <w:p w14:paraId="069920F4" w14:textId="77777777" w:rsidR="00842E4E" w:rsidRPr="007363D9" w:rsidRDefault="00842E4E" w:rsidP="004F217F">
      <w:pPr>
        <w:pStyle w:val="berschrift3"/>
      </w:pPr>
      <w:r w:rsidRPr="007363D9">
        <w:t>Zweckänderung der</w:t>
      </w:r>
      <w:r w:rsidR="005A49B6" w:rsidRPr="007363D9">
        <w:t xml:space="preserve"> Daten</w:t>
      </w:r>
    </w:p>
    <w:p w14:paraId="3B91E7CA" w14:textId="5D62D878" w:rsidR="00B47059" w:rsidRDefault="00B47059" w:rsidP="004D01B1">
      <w:r>
        <w:t>Erfolgt die Zweckänderung und Anonymisierung der Daten</w:t>
      </w:r>
      <w:r w:rsidRPr="00B47059">
        <w:t xml:space="preserve"> </w:t>
      </w:r>
      <w:r>
        <w:t>aus dem klinischen Informationssystem oder dem CDWH-System in einem automatisierten Arbeitsschritt ohne das</w:t>
      </w:r>
      <w:r w:rsidR="00582FC4">
        <w:t>s</w:t>
      </w:r>
      <w:r>
        <w:t xml:space="preserve"> </w:t>
      </w:r>
      <w:r w:rsidR="00B5110C">
        <w:t>Forschende</w:t>
      </w:r>
      <w:r w:rsidR="00B15E41">
        <w:t xml:space="preserve"> direkten </w:t>
      </w:r>
      <w:r>
        <w:t xml:space="preserve">Zugriff </w:t>
      </w:r>
      <w:r w:rsidR="00B15E41">
        <w:t xml:space="preserve">(Einsicht) </w:t>
      </w:r>
      <w:r>
        <w:t>auf die Quelldaten oder die personenbeziehbaren Daten hatte, ist die Frage</w:t>
      </w:r>
      <w:r w:rsidR="00B15E41">
        <w:t xml:space="preserve"> 2b mit „</w:t>
      </w:r>
      <w:r w:rsidR="00B5110C">
        <w:t>N</w:t>
      </w:r>
      <w:r w:rsidR="00B15E41">
        <w:t>ein“ zu beantworten</w:t>
      </w:r>
      <w:r w:rsidR="00B15E41">
        <w:rPr>
          <w:rStyle w:val="Funotenzeichen"/>
        </w:rPr>
        <w:footnoteReference w:id="3"/>
      </w:r>
      <w:r w:rsidR="00B15E41">
        <w:t xml:space="preserve">. </w:t>
      </w:r>
      <w:r>
        <w:t xml:space="preserve">In diesem Fall </w:t>
      </w:r>
      <w:r w:rsidR="007C017F">
        <w:t xml:space="preserve">werden keine personenbeziehbaren Daten verarbeitet und es besteht </w:t>
      </w:r>
      <w:r w:rsidR="007C017F" w:rsidRPr="007C017F">
        <w:rPr>
          <w:b/>
        </w:rPr>
        <w:t>dementsprechend keine Beratungspflicht durch die Ethikkommission</w:t>
      </w:r>
      <w:r w:rsidR="007C017F">
        <w:t>.</w:t>
      </w:r>
      <w:r w:rsidR="00B641F4">
        <w:t xml:space="preserve"> </w:t>
      </w:r>
      <w:r w:rsidR="00935A73">
        <w:rPr>
          <w:b/>
        </w:rPr>
        <w:t xml:space="preserve">Die Anonymität </w:t>
      </w:r>
      <w:r w:rsidR="007C017F" w:rsidRPr="00B641F4">
        <w:rPr>
          <w:b/>
        </w:rPr>
        <w:t xml:space="preserve">kann von der Ethikkommission </w:t>
      </w:r>
      <w:r w:rsidR="00B641F4" w:rsidRPr="00B641F4">
        <w:rPr>
          <w:b/>
        </w:rPr>
        <w:t xml:space="preserve">jedoch nicht geprüft und </w:t>
      </w:r>
      <w:r w:rsidR="00A4043E">
        <w:rPr>
          <w:b/>
        </w:rPr>
        <w:t xml:space="preserve">damit nicht </w:t>
      </w:r>
      <w:r w:rsidR="00B641F4" w:rsidRPr="00B641F4">
        <w:rPr>
          <w:b/>
        </w:rPr>
        <w:t>bescheinigt werden</w:t>
      </w:r>
      <w:r w:rsidR="00216822">
        <w:t xml:space="preserve">. </w:t>
      </w:r>
    </w:p>
    <w:p w14:paraId="6775FE3B" w14:textId="77777777" w:rsidR="00842E4E" w:rsidRPr="005A49B6" w:rsidRDefault="00842E4E" w:rsidP="004F217F">
      <w:pPr>
        <w:pStyle w:val="berschrift3"/>
      </w:pPr>
      <w:r w:rsidRPr="005A49B6">
        <w:t>Zweckänderung des IT-Systems</w:t>
      </w:r>
    </w:p>
    <w:p w14:paraId="34A71312" w14:textId="1ECA3A21" w:rsidR="004D01B1" w:rsidRPr="00F67184" w:rsidRDefault="00842E4E" w:rsidP="005767F3">
      <w:r>
        <w:t xml:space="preserve">In diesem Fall wird ein </w:t>
      </w:r>
      <w:r w:rsidR="00E11DC4" w:rsidRPr="00842E4E">
        <w:t>CDWH System</w:t>
      </w:r>
      <w:r>
        <w:t xml:space="preserve"> oder eine Funktion (Modul) eines </w:t>
      </w:r>
      <w:r w:rsidR="00B5110C">
        <w:t>k</w:t>
      </w:r>
      <w:r>
        <w:t>linischen Informationssystems</w:t>
      </w:r>
      <w:r w:rsidR="00E11DC4" w:rsidRPr="00842E4E">
        <w:t xml:space="preserve"> mit dem Zweck der Forschung in Betrieb genommen oder </w:t>
      </w:r>
      <w:r>
        <w:t>es erfolgt eine</w:t>
      </w:r>
      <w:r w:rsidR="00E11DC4" w:rsidRPr="00842E4E">
        <w:t xml:space="preserve"> entsprechende Zweckänderung</w:t>
      </w:r>
      <w:r>
        <w:t xml:space="preserve"> eines bestehenden IT-Systems.</w:t>
      </w:r>
      <w:r w:rsidR="00E11DC4" w:rsidRPr="00842E4E">
        <w:t xml:space="preserve"> </w:t>
      </w:r>
      <w:r w:rsidR="00F07180">
        <w:t xml:space="preserve">Dies kann sowohl durch die Verarbeitung von für die Forschung erhobener Daten, wie auch durch eine regelhafte Nutzung, z.B. </w:t>
      </w:r>
      <w:r w:rsidR="00F07180">
        <w:lastRenderedPageBreak/>
        <w:t xml:space="preserve">durch die Einführung von Use &amp; Access Regeln für die Forschung erfolgen. </w:t>
      </w:r>
      <w:r>
        <w:t xml:space="preserve">Dieser Fall ist vergleichbar mit </w:t>
      </w:r>
      <w:r w:rsidR="004F217F">
        <w:t xml:space="preserve">Abschnitt </w:t>
      </w:r>
      <w:r>
        <w:fldChar w:fldCharType="begin"/>
      </w:r>
      <w:r>
        <w:instrText xml:space="preserve"> REF _Ref470965368 \r \h </w:instrText>
      </w:r>
      <w:r>
        <w:fldChar w:fldCharType="separate"/>
      </w:r>
      <w:r w:rsidR="00A873E6">
        <w:t>3.2</w:t>
      </w:r>
      <w:r>
        <w:fldChar w:fldCharType="end"/>
      </w:r>
      <w:r w:rsidR="004F217F">
        <w:t xml:space="preserve">. Dementsprechend muss </w:t>
      </w:r>
      <w:r w:rsidRPr="005A49B6">
        <w:rPr>
          <w:b/>
        </w:rPr>
        <w:t xml:space="preserve">vor der Inbetriebnahme </w:t>
      </w:r>
      <w:r w:rsidR="004F217F">
        <w:rPr>
          <w:b/>
        </w:rPr>
        <w:t xml:space="preserve">oder </w:t>
      </w:r>
      <w:r w:rsidR="00F07180">
        <w:rPr>
          <w:b/>
        </w:rPr>
        <w:t xml:space="preserve">der </w:t>
      </w:r>
      <w:r w:rsidR="004F217F">
        <w:rPr>
          <w:b/>
        </w:rPr>
        <w:t>Zweckänderung eine</w:t>
      </w:r>
      <w:r w:rsidR="00F07180">
        <w:rPr>
          <w:b/>
        </w:rPr>
        <w:t>s IT-Systems mit dem Zweck der Forschung eine</w:t>
      </w:r>
      <w:r w:rsidR="004F217F">
        <w:rPr>
          <w:b/>
        </w:rPr>
        <w:t xml:space="preserve"> Beratung des Betreibe</w:t>
      </w:r>
      <w:r w:rsidR="00B5110C">
        <w:rPr>
          <w:b/>
        </w:rPr>
        <w:t>nden</w:t>
      </w:r>
      <w:r w:rsidR="004F217F">
        <w:rPr>
          <w:b/>
        </w:rPr>
        <w:t xml:space="preserve"> </w:t>
      </w:r>
      <w:r w:rsidRPr="005A49B6">
        <w:rPr>
          <w:b/>
        </w:rPr>
        <w:t xml:space="preserve">durch </w:t>
      </w:r>
      <w:r w:rsidR="005A49B6">
        <w:rPr>
          <w:b/>
        </w:rPr>
        <w:t>die</w:t>
      </w:r>
      <w:r w:rsidRPr="005A49B6">
        <w:rPr>
          <w:b/>
        </w:rPr>
        <w:t xml:space="preserve"> medizini</w:t>
      </w:r>
      <w:r w:rsidR="004F217F">
        <w:rPr>
          <w:b/>
        </w:rPr>
        <w:t>sche Ethikkommission erfolgen.</w:t>
      </w:r>
    </w:p>
    <w:p w14:paraId="08937A20" w14:textId="511D4531" w:rsidR="003E3AE9" w:rsidRDefault="00360582" w:rsidP="00B72434">
      <w:pPr>
        <w:pStyle w:val="berschrift1"/>
      </w:pPr>
      <w:r>
        <w:t>Verantwortung de</w:t>
      </w:r>
      <w:r w:rsidR="00B5110C">
        <w:t>r antragstellenden Person</w:t>
      </w:r>
      <w:r w:rsidR="00FF239E">
        <w:t xml:space="preserve"> und freiwillige Beratung</w:t>
      </w:r>
    </w:p>
    <w:p w14:paraId="1CC0D646" w14:textId="14F9BBEC" w:rsidR="005767F3" w:rsidRDefault="00E90D4E" w:rsidP="005767F3">
      <w:pPr>
        <w:tabs>
          <w:tab w:val="left" w:pos="1418"/>
          <w:tab w:val="left" w:pos="4536"/>
          <w:tab w:val="left" w:pos="5954"/>
        </w:tabs>
      </w:pPr>
      <w:r>
        <w:t xml:space="preserve">Die Verantwortung für die </w:t>
      </w:r>
      <w:r w:rsidR="00B762A0">
        <w:t>Vollständigkeit und Richtigkeit der gemachten Angaben lieg</w:t>
      </w:r>
      <w:r w:rsidR="00B5110C">
        <w:t>t bei der antragstellenden Person</w:t>
      </w:r>
      <w:r w:rsidR="00B762A0">
        <w:t xml:space="preserve">. Sollte </w:t>
      </w:r>
      <w:r w:rsidR="00B5110C">
        <w:t>diese</w:t>
      </w:r>
      <w:r w:rsidR="00B762A0">
        <w:t xml:space="preserve"> bei der Beantwortung nicht sicher sein, oder sich ggf. im Verlauf des Forschungsvorhabens Änderungen am Studiendesign ergeben können, die eine Beratung notwendig machen ist eine freiwillige Beratung durch die (medizinische) Ethikkommission möglich.</w:t>
      </w:r>
    </w:p>
    <w:p w14:paraId="00F976BF" w14:textId="77777777" w:rsidR="00551009" w:rsidRDefault="00551009" w:rsidP="00551009">
      <w:pPr>
        <w:pStyle w:val="berschrift1"/>
      </w:pPr>
      <w:r>
        <w:t>Referenzen</w:t>
      </w:r>
    </w:p>
    <w:p w14:paraId="7D4D3F18" w14:textId="4BAAF725" w:rsidR="00B72434" w:rsidRPr="00B72434" w:rsidRDefault="00E90D4E" w:rsidP="00B72434">
      <w:r>
        <w:t xml:space="preserve">Der Fragebogen, sowie die </w:t>
      </w:r>
      <w:r w:rsidR="005D3BC5">
        <w:t>Erläuterungen</w:t>
      </w:r>
      <w:r>
        <w:t xml:space="preserve"> basieren auf folgenden Rechtsnormen:</w:t>
      </w:r>
    </w:p>
    <w:p w14:paraId="177A8764" w14:textId="77777777" w:rsidR="00D61B34" w:rsidRDefault="003271E8" w:rsidP="00216822">
      <w:pPr>
        <w:pStyle w:val="Listenabsatz"/>
        <w:numPr>
          <w:ilvl w:val="0"/>
          <w:numId w:val="9"/>
        </w:numPr>
      </w:pPr>
      <w:r>
        <w:t>§15</w:t>
      </w:r>
      <w:r w:rsidR="00B72434">
        <w:t xml:space="preserve"> </w:t>
      </w:r>
      <w:r>
        <w:t xml:space="preserve">Berufsordnung der </w:t>
      </w:r>
      <w:r w:rsidR="00B72434">
        <w:t>Ä</w:t>
      </w:r>
      <w:r>
        <w:t>rztekammer Niedersachsen</w:t>
      </w:r>
      <w:r w:rsidR="00B72434" w:rsidRPr="00B72434">
        <w:t xml:space="preserve"> </w:t>
      </w:r>
      <w:r w:rsidR="00B72434">
        <w:t xml:space="preserve">vom 22. März 2005, zuletzt geändert am 28. November 2015 mit Wirkung zum 1. Februar 2016 </w:t>
      </w:r>
    </w:p>
    <w:p w14:paraId="52A8B628" w14:textId="77777777" w:rsidR="003271E8" w:rsidRDefault="003271E8" w:rsidP="00216822">
      <w:pPr>
        <w:pStyle w:val="Listenabsatz"/>
        <w:numPr>
          <w:ilvl w:val="0"/>
          <w:numId w:val="9"/>
        </w:numPr>
      </w:pPr>
      <w:r>
        <w:t xml:space="preserve">§28 </w:t>
      </w:r>
      <w:r w:rsidR="00B72434" w:rsidRPr="00B72434">
        <w:t>Berufsordnung der Psychotherapeutenkammer Niedersachsen Stand 25.10.2014</w:t>
      </w:r>
    </w:p>
    <w:p w14:paraId="2D610A87" w14:textId="77777777" w:rsidR="00935D33" w:rsidRDefault="00B72434" w:rsidP="00216822">
      <w:pPr>
        <w:pStyle w:val="Listenabsatz"/>
        <w:numPr>
          <w:ilvl w:val="0"/>
          <w:numId w:val="9"/>
        </w:numPr>
      </w:pPr>
      <w:r>
        <w:t xml:space="preserve">Artikel 23 WMA Deklaration von Helsinki -Ethische Grundsätze für die medizinische Forschung am Menschen, Version verabschiedet </w:t>
      </w:r>
      <w:r w:rsidRPr="00B72434">
        <w:t>Oktober 2013, Fortaleza (Brasilien)</w:t>
      </w:r>
    </w:p>
    <w:p w14:paraId="7EDDA964" w14:textId="77777777" w:rsidR="00B72434" w:rsidRPr="00935A73" w:rsidRDefault="00B72434" w:rsidP="00216822">
      <w:pPr>
        <w:pStyle w:val="Listenabsatz"/>
        <w:numPr>
          <w:ilvl w:val="0"/>
          <w:numId w:val="9"/>
        </w:numPr>
        <w:rPr>
          <w:highlight w:val="yellow"/>
        </w:rPr>
      </w:pPr>
      <w:r w:rsidRPr="00B72434">
        <w:t xml:space="preserve">Bundesdatenschutzgesetz </w:t>
      </w:r>
      <w:r w:rsidRPr="00935A73">
        <w:rPr>
          <w:highlight w:val="yellow"/>
        </w:rPr>
        <w:t>in der Fassung der Bekanntmachung vom 14. Januar 2003 (BGBl. I S. 66), das zuletzt durch Artikel 1 des Gesetzes vom 25. Februar 2015 (BGBl. I S. 162) geändert worden ist</w:t>
      </w:r>
      <w:r w:rsidR="003252D8" w:rsidRPr="00935A73">
        <w:rPr>
          <w:highlight w:val="yellow"/>
        </w:rPr>
        <w:t>, insb. §3 (6) und (6a)</w:t>
      </w:r>
    </w:p>
    <w:p w14:paraId="18B8650E" w14:textId="6257E4DF" w:rsidR="00935D33" w:rsidRDefault="00B72434" w:rsidP="00216822">
      <w:pPr>
        <w:pStyle w:val="Listenabsatz"/>
        <w:numPr>
          <w:ilvl w:val="0"/>
          <w:numId w:val="9"/>
        </w:numPr>
      </w:pPr>
      <w:r w:rsidRPr="00B72434">
        <w:t>Verordnung (EU) 2016/679 des Europäischen Parlaments und des Rates vom 27. April 2016 zum Schutz natürlicher Personen bei der Verarbeitung personenbezogener Daten, zum freien Datenverkehr und zur Aufhebung der Richtlinie 95/46/EG (Datenschutz-Grundverordnung) (Text von Bedeutung für den EWR)</w:t>
      </w:r>
      <w:r w:rsidR="003252D8">
        <w:t>, insb. Artikel 4 (5)</w:t>
      </w:r>
    </w:p>
    <w:p w14:paraId="60F42B22" w14:textId="7386457A" w:rsidR="00424A34" w:rsidRPr="00D61B34" w:rsidRDefault="00424A34" w:rsidP="00216822">
      <w:pPr>
        <w:pStyle w:val="Listenabsatz"/>
        <w:numPr>
          <w:ilvl w:val="0"/>
          <w:numId w:val="9"/>
        </w:numPr>
      </w:pPr>
      <w:r w:rsidRPr="00424A34">
        <w:t>Handreichung für Ethik-Kommissionen für die Beratung bzw. Bewertung von Studien im Hinblick auf datenschutzrechtliche Aspekte</w:t>
      </w:r>
      <w:r>
        <w:t>:</w:t>
      </w:r>
      <w:r w:rsidRPr="00424A34">
        <w:t xml:space="preserve"> https://www.akek.de/wp-content/uploads/4D-AG-Datenschutz-DSGVO-Handreichung_v6.4_2020.9.30-final.pdf</w:t>
      </w:r>
    </w:p>
    <w:sectPr w:rsidR="00424A34" w:rsidRPr="00D61B34" w:rsidSect="0001707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5F73" w14:textId="77777777" w:rsidR="00A52EAE" w:rsidRDefault="00A52EAE" w:rsidP="007B1A23">
      <w:pPr>
        <w:spacing w:after="0" w:line="240" w:lineRule="auto"/>
      </w:pPr>
      <w:r>
        <w:separator/>
      </w:r>
    </w:p>
  </w:endnote>
  <w:endnote w:type="continuationSeparator" w:id="0">
    <w:p w14:paraId="54212A53" w14:textId="77777777" w:rsidR="00A52EAE" w:rsidRDefault="00A52EAE" w:rsidP="007B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8295" w14:textId="77777777" w:rsidR="000B1C7F" w:rsidRDefault="000B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94" w:type="dxa"/>
      <w:tblLook w:val="04A0" w:firstRow="1" w:lastRow="0" w:firstColumn="1" w:lastColumn="0" w:noHBand="0" w:noVBand="1"/>
    </w:tblPr>
    <w:tblGrid>
      <w:gridCol w:w="3085"/>
      <w:gridCol w:w="2977"/>
      <w:gridCol w:w="2410"/>
      <w:gridCol w:w="1222"/>
    </w:tblGrid>
    <w:tr w:rsidR="00BA7224" w14:paraId="616F278E" w14:textId="77777777" w:rsidTr="00BA7224">
      <w:tc>
        <w:tcPr>
          <w:tcW w:w="3085" w:type="dxa"/>
        </w:tcPr>
        <w:p w14:paraId="5845D6B7" w14:textId="77777777" w:rsidR="00BA7224" w:rsidRDefault="00BA7224" w:rsidP="00135980">
          <w:pPr>
            <w:pStyle w:val="Fuzeile"/>
            <w:rPr>
              <w:sz w:val="16"/>
            </w:rPr>
          </w:pPr>
          <w:r>
            <w:rPr>
              <w:sz w:val="16"/>
            </w:rPr>
            <w:t>Formular: Erläuterungen Beratungspflicht</w:t>
          </w:r>
        </w:p>
        <w:p w14:paraId="0A4B0E37" w14:textId="05A58A41" w:rsidR="00BA7224" w:rsidRDefault="00BA7224" w:rsidP="00135980">
          <w:pPr>
            <w:pStyle w:val="Fuzeile"/>
            <w:rPr>
              <w:sz w:val="16"/>
            </w:rPr>
          </w:pPr>
          <w:r>
            <w:rPr>
              <w:sz w:val="16"/>
            </w:rPr>
            <w:t xml:space="preserve">Version </w:t>
          </w:r>
          <w:r w:rsidR="003749B6">
            <w:rPr>
              <w:sz w:val="16"/>
            </w:rPr>
            <w:t>0</w:t>
          </w:r>
          <w:r w:rsidR="00935A73">
            <w:rPr>
              <w:sz w:val="16"/>
            </w:rPr>
            <w:t>2</w:t>
          </w:r>
        </w:p>
        <w:p w14:paraId="7C6CFE63" w14:textId="53FD0EF4" w:rsidR="00BA7224" w:rsidRPr="007B1A23" w:rsidRDefault="00BA7224" w:rsidP="00135980">
          <w:pPr>
            <w:pStyle w:val="Fuzeile"/>
            <w:rPr>
              <w:sz w:val="16"/>
            </w:rPr>
          </w:pPr>
          <w:r>
            <w:rPr>
              <w:sz w:val="16"/>
            </w:rPr>
            <w:t>Stand: 20.</w:t>
          </w:r>
          <w:r w:rsidR="00935A73">
            <w:rPr>
              <w:sz w:val="16"/>
            </w:rPr>
            <w:t>07.2022</w:t>
          </w:r>
        </w:p>
      </w:tc>
      <w:tc>
        <w:tcPr>
          <w:tcW w:w="2977" w:type="dxa"/>
        </w:tcPr>
        <w:p w14:paraId="7C6814D2" w14:textId="77777777" w:rsidR="00BA7224" w:rsidRPr="007B1A23" w:rsidRDefault="00BA7224" w:rsidP="00135980">
          <w:pPr>
            <w:pStyle w:val="Fuzeile"/>
            <w:rPr>
              <w:sz w:val="16"/>
            </w:rPr>
          </w:pPr>
          <w:r>
            <w:rPr>
              <w:sz w:val="16"/>
            </w:rPr>
            <w:t xml:space="preserve">Herausgeber: </w:t>
          </w:r>
          <w:r>
            <w:rPr>
              <w:sz w:val="16"/>
            </w:rPr>
            <w:br/>
          </w:r>
          <w:r w:rsidRPr="007B1A23">
            <w:rPr>
              <w:sz w:val="16"/>
            </w:rPr>
            <w:t xml:space="preserve">Medizinische Ethikkommission </w:t>
          </w:r>
          <w:r>
            <w:rPr>
              <w:sz w:val="16"/>
            </w:rPr>
            <w:br/>
            <w:t xml:space="preserve">Carl v. Ossietzky Universität </w:t>
          </w:r>
          <w:r w:rsidRPr="007B1A23">
            <w:rPr>
              <w:sz w:val="16"/>
            </w:rPr>
            <w:t>Oldenburg</w:t>
          </w:r>
        </w:p>
      </w:tc>
      <w:tc>
        <w:tcPr>
          <w:tcW w:w="2410" w:type="dxa"/>
        </w:tcPr>
        <w:p w14:paraId="3FF3BC0B" w14:textId="23D14D1D" w:rsidR="00BA7224" w:rsidRPr="00BA7224" w:rsidRDefault="00BA7224" w:rsidP="00135980">
          <w:pPr>
            <w:pStyle w:val="Fuzeile"/>
            <w:rPr>
              <w:sz w:val="16"/>
              <w:highlight w:val="yellow"/>
            </w:rPr>
          </w:pPr>
          <w:r w:rsidRPr="00BA7224">
            <w:rPr>
              <w:sz w:val="16"/>
              <w:highlight w:val="yellow"/>
            </w:rPr>
            <w:t>Freigab:</w:t>
          </w:r>
        </w:p>
        <w:p w14:paraId="0481C04D" w14:textId="77777777" w:rsidR="00BA7224" w:rsidRPr="00BA7224" w:rsidRDefault="00BA7224" w:rsidP="00135980">
          <w:pPr>
            <w:pStyle w:val="Fuzeile"/>
            <w:rPr>
              <w:sz w:val="16"/>
              <w:highlight w:val="yellow"/>
            </w:rPr>
          </w:pPr>
          <w:r w:rsidRPr="00BA7224">
            <w:rPr>
              <w:sz w:val="16"/>
              <w:highlight w:val="yellow"/>
            </w:rPr>
            <w:t>XXXXX</w:t>
          </w:r>
        </w:p>
        <w:p w14:paraId="00BAF656" w14:textId="77777777" w:rsidR="00BA7224" w:rsidRPr="007B1A23" w:rsidRDefault="00BA7224" w:rsidP="00135980">
          <w:pPr>
            <w:pStyle w:val="Fuzeile"/>
            <w:rPr>
              <w:sz w:val="16"/>
            </w:rPr>
          </w:pPr>
          <w:r w:rsidRPr="00BA7224">
            <w:rPr>
              <w:sz w:val="16"/>
              <w:highlight w:val="yellow"/>
            </w:rPr>
            <w:t>Datum:</w:t>
          </w:r>
          <w:r>
            <w:rPr>
              <w:sz w:val="16"/>
            </w:rPr>
            <w:t xml:space="preserve"> </w:t>
          </w:r>
        </w:p>
      </w:tc>
      <w:tc>
        <w:tcPr>
          <w:tcW w:w="1222" w:type="dxa"/>
        </w:tcPr>
        <w:p w14:paraId="1F88E2BD" w14:textId="2FB81451" w:rsidR="00BA7224" w:rsidRPr="007B1A23" w:rsidRDefault="00BA7224" w:rsidP="00BA7224">
          <w:pPr>
            <w:pStyle w:val="Fuzeile"/>
            <w:rPr>
              <w:sz w:val="16"/>
            </w:rPr>
          </w:pPr>
          <w:r w:rsidRPr="0001707E">
            <w:rPr>
              <w:sz w:val="18"/>
            </w:rPr>
            <w:t xml:space="preserve">Seite </w:t>
          </w:r>
          <w:r w:rsidRPr="0001707E">
            <w:rPr>
              <w:b/>
              <w:sz w:val="18"/>
            </w:rPr>
            <w:fldChar w:fldCharType="begin"/>
          </w:r>
          <w:r w:rsidRPr="0001707E">
            <w:rPr>
              <w:b/>
              <w:sz w:val="18"/>
            </w:rPr>
            <w:instrText>PAGE  \* Arabic  \* MERGEFORMAT</w:instrText>
          </w:r>
          <w:r w:rsidRPr="0001707E">
            <w:rPr>
              <w:b/>
              <w:sz w:val="18"/>
            </w:rPr>
            <w:fldChar w:fldCharType="separate"/>
          </w:r>
          <w:r w:rsidR="004C48CE">
            <w:rPr>
              <w:b/>
              <w:noProof/>
              <w:sz w:val="18"/>
            </w:rPr>
            <w:t>2</w:t>
          </w:r>
          <w:r w:rsidRPr="0001707E">
            <w:rPr>
              <w:b/>
              <w:sz w:val="18"/>
            </w:rPr>
            <w:fldChar w:fldCharType="end"/>
          </w:r>
          <w:r w:rsidRPr="0001707E">
            <w:rPr>
              <w:sz w:val="18"/>
            </w:rPr>
            <w:t xml:space="preserve"> von</w:t>
          </w:r>
          <w:r>
            <w:rPr>
              <w:sz w:val="18"/>
            </w:rPr>
            <w:t xml:space="preserve"> </w:t>
          </w:r>
          <w:r w:rsidR="000B1C7F">
            <w:rPr>
              <w:sz w:val="18"/>
            </w:rPr>
            <w:t>4</w:t>
          </w:r>
        </w:p>
      </w:tc>
    </w:tr>
  </w:tbl>
  <w:p w14:paraId="004D4F17" w14:textId="77777777" w:rsidR="00BA7224" w:rsidRPr="0001707E" w:rsidRDefault="00BA7224" w:rsidP="00BA7224">
    <w:pPr>
      <w:pStyle w:val="Fuzeile"/>
      <w:tabs>
        <w:tab w:val="clear" w:pos="4536"/>
        <w:tab w:val="clear" w:pos="9072"/>
        <w:tab w:val="left" w:pos="1095"/>
      </w:tabs>
    </w:pPr>
  </w:p>
  <w:p w14:paraId="30DFCEB8" w14:textId="77777777" w:rsidR="00F07180" w:rsidRPr="00BA7224" w:rsidRDefault="00F07180" w:rsidP="00BA72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6C5" w14:textId="77777777" w:rsidR="000B1C7F" w:rsidRDefault="000B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DBFE" w14:textId="77777777" w:rsidR="00A52EAE" w:rsidRDefault="00A52EAE" w:rsidP="007B1A23">
      <w:pPr>
        <w:spacing w:after="0" w:line="240" w:lineRule="auto"/>
      </w:pPr>
      <w:r>
        <w:separator/>
      </w:r>
    </w:p>
  </w:footnote>
  <w:footnote w:type="continuationSeparator" w:id="0">
    <w:p w14:paraId="4260EE6A" w14:textId="77777777" w:rsidR="00A52EAE" w:rsidRDefault="00A52EAE" w:rsidP="007B1A23">
      <w:pPr>
        <w:spacing w:after="0" w:line="240" w:lineRule="auto"/>
      </w:pPr>
      <w:r>
        <w:continuationSeparator/>
      </w:r>
    </w:p>
  </w:footnote>
  <w:footnote w:id="1">
    <w:p w14:paraId="246B7B8F" w14:textId="77777777" w:rsidR="00F07180" w:rsidRDefault="00F07180">
      <w:pPr>
        <w:pStyle w:val="Funotentext"/>
      </w:pPr>
      <w:r>
        <w:rPr>
          <w:rStyle w:val="Funotenzeichen"/>
        </w:rPr>
        <w:footnoteRef/>
      </w:r>
      <w:r>
        <w:t xml:space="preserve"> Ist d</w:t>
      </w:r>
      <w:r w:rsidR="00AB0FF0">
        <w:t>er Antragsteller bei der Beantwortung dieser Frage unsicher sein, kann er sich vorab an die GS der EK wenden.</w:t>
      </w:r>
    </w:p>
  </w:footnote>
  <w:footnote w:id="2">
    <w:p w14:paraId="4A6FDFC9" w14:textId="78D818EF" w:rsidR="00F07180" w:rsidRDefault="00F07180">
      <w:pPr>
        <w:pStyle w:val="Funotentext"/>
      </w:pPr>
      <w:r>
        <w:rPr>
          <w:rStyle w:val="Funotenzeichen"/>
        </w:rPr>
        <w:footnoteRef/>
      </w:r>
      <w:r>
        <w:t xml:space="preserve"> Inzwischen erkennen einige Ethikkommissionen und Datenschutzbeauftragte an dieser Stelle nur noch nach Landesrecht gebildetere Ethikkommissionen an. Derzeit akzeptiert die medizinische Ethikkommission dies</w:t>
      </w:r>
      <w:r w:rsidR="006E422F">
        <w:t>.</w:t>
      </w:r>
    </w:p>
  </w:footnote>
  <w:footnote w:id="3">
    <w:p w14:paraId="40E8FCC2" w14:textId="77777777" w:rsidR="00B15E41" w:rsidRDefault="00B15E41">
      <w:pPr>
        <w:pStyle w:val="Funotentext"/>
      </w:pPr>
      <w:r>
        <w:rPr>
          <w:rStyle w:val="Funotenzeichen"/>
        </w:rPr>
        <w:footnoteRef/>
      </w:r>
      <w:r>
        <w:t xml:space="preserve"> Dies ist z.B. der Fall wenn die Programmierung unabhängig von</w:t>
      </w:r>
      <w:r w:rsidR="00B56961">
        <w:t xml:space="preserve"> der </w:t>
      </w:r>
      <w:r w:rsidR="0036719C">
        <w:t>Datenbank mit Patientendaten</w:t>
      </w:r>
      <w:r w:rsidR="00B56961">
        <w:t xml:space="preserve"> und </w:t>
      </w:r>
      <w:r>
        <w:t>die Datenselektion</w:t>
      </w:r>
      <w:r w:rsidR="0036719C">
        <w:t>, -aufbereitung</w:t>
      </w:r>
      <w:r>
        <w:t xml:space="preserve"> und </w:t>
      </w:r>
      <w:r w:rsidR="0036719C">
        <w:t>–a</w:t>
      </w:r>
      <w:r w:rsidR="00B56961">
        <w:t>nonymisierung</w:t>
      </w:r>
      <w:r w:rsidR="0036719C">
        <w:t xml:space="preserve"> in einem Programm / Skript</w:t>
      </w:r>
      <w:r w:rsidR="00B56961">
        <w:t xml:space="preserve"> </w:t>
      </w:r>
      <w:r>
        <w:t>erfolgt</w:t>
      </w:r>
      <w:r w:rsidR="0036719C">
        <w:t>. Dieses wird auf der Datenbank mit Echtdaten ausgeführt und als Ergebnis ein anonymisierter</w:t>
      </w:r>
      <w:r>
        <w:t xml:space="preserve"> Datensatz bereit</w:t>
      </w:r>
      <w:r w:rsidR="0036719C">
        <w:t>ge</w:t>
      </w:r>
      <w:r>
        <w:t>stellt.</w:t>
      </w:r>
      <w:r w:rsidR="00B56961">
        <w:t xml:space="preserve"> Prozed</w:t>
      </w:r>
      <w:r w:rsidR="0036719C">
        <w:t>uren zur Anonymisierung sind z.B</w:t>
      </w:r>
      <w:r w:rsidR="00B56961">
        <w:t>. die Kategorisierung von Daten oder die zufällige Veränderung von Zeitstempeln zum Ausschluss einer indirekten Identifizierung von Patienten.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818D" w14:textId="77777777" w:rsidR="000B1C7F" w:rsidRDefault="000B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FD4F" w14:textId="77777777" w:rsidR="000B1C7F" w:rsidRDefault="000B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2397" w14:textId="77777777" w:rsidR="000B1C7F" w:rsidRDefault="000B1C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3C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5BC1CB7"/>
    <w:multiLevelType w:val="hybridMultilevel"/>
    <w:tmpl w:val="C1D6B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52C1C"/>
    <w:multiLevelType w:val="hybridMultilevel"/>
    <w:tmpl w:val="CD6A12F0"/>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108C3"/>
    <w:multiLevelType w:val="hybridMultilevel"/>
    <w:tmpl w:val="9D787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B63F5D"/>
    <w:multiLevelType w:val="hybridMultilevel"/>
    <w:tmpl w:val="CFD83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8C4BC7"/>
    <w:multiLevelType w:val="hybridMultilevel"/>
    <w:tmpl w:val="90EAD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41AA2"/>
    <w:multiLevelType w:val="hybridMultilevel"/>
    <w:tmpl w:val="7B18D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01024C"/>
    <w:multiLevelType w:val="hybridMultilevel"/>
    <w:tmpl w:val="8EF48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108A3"/>
    <w:multiLevelType w:val="hybridMultilevel"/>
    <w:tmpl w:val="FD741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6669689">
    <w:abstractNumId w:val="0"/>
  </w:num>
  <w:num w:numId="2" w16cid:durableId="559755536">
    <w:abstractNumId w:val="1"/>
  </w:num>
  <w:num w:numId="3" w16cid:durableId="321277853">
    <w:abstractNumId w:val="4"/>
  </w:num>
  <w:num w:numId="4" w16cid:durableId="671446206">
    <w:abstractNumId w:val="8"/>
  </w:num>
  <w:num w:numId="5" w16cid:durableId="1193038754">
    <w:abstractNumId w:val="2"/>
  </w:num>
  <w:num w:numId="6" w16cid:durableId="110132756">
    <w:abstractNumId w:val="7"/>
  </w:num>
  <w:num w:numId="7" w16cid:durableId="811101282">
    <w:abstractNumId w:val="3"/>
  </w:num>
  <w:num w:numId="8" w16cid:durableId="784545174">
    <w:abstractNumId w:val="5"/>
  </w:num>
  <w:num w:numId="9" w16cid:durableId="1491096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BE"/>
    <w:rsid w:val="0001707E"/>
    <w:rsid w:val="00033B74"/>
    <w:rsid w:val="00035006"/>
    <w:rsid w:val="00036DA8"/>
    <w:rsid w:val="00053709"/>
    <w:rsid w:val="00074F78"/>
    <w:rsid w:val="00080704"/>
    <w:rsid w:val="0008329D"/>
    <w:rsid w:val="000B1C7F"/>
    <w:rsid w:val="000B315E"/>
    <w:rsid w:val="000C68A6"/>
    <w:rsid w:val="000E1B33"/>
    <w:rsid w:val="001147C2"/>
    <w:rsid w:val="00127D06"/>
    <w:rsid w:val="001375A8"/>
    <w:rsid w:val="001463A4"/>
    <w:rsid w:val="00147B74"/>
    <w:rsid w:val="001773B4"/>
    <w:rsid w:val="001819D6"/>
    <w:rsid w:val="001846EE"/>
    <w:rsid w:val="0019255A"/>
    <w:rsid w:val="001B637A"/>
    <w:rsid w:val="001C3345"/>
    <w:rsid w:val="001F6620"/>
    <w:rsid w:val="00216822"/>
    <w:rsid w:val="00220744"/>
    <w:rsid w:val="00224F49"/>
    <w:rsid w:val="00225E29"/>
    <w:rsid w:val="00254E43"/>
    <w:rsid w:val="00257686"/>
    <w:rsid w:val="00265F40"/>
    <w:rsid w:val="00296B07"/>
    <w:rsid w:val="002C4512"/>
    <w:rsid w:val="002E6FAF"/>
    <w:rsid w:val="0032343C"/>
    <w:rsid w:val="003252D8"/>
    <w:rsid w:val="003271E8"/>
    <w:rsid w:val="00335012"/>
    <w:rsid w:val="00352BD1"/>
    <w:rsid w:val="00360582"/>
    <w:rsid w:val="0036719C"/>
    <w:rsid w:val="003749B6"/>
    <w:rsid w:val="0037754B"/>
    <w:rsid w:val="003C38A9"/>
    <w:rsid w:val="003E3AE9"/>
    <w:rsid w:val="003E7E1B"/>
    <w:rsid w:val="004025CD"/>
    <w:rsid w:val="00414905"/>
    <w:rsid w:val="00417188"/>
    <w:rsid w:val="00424A34"/>
    <w:rsid w:val="00496D89"/>
    <w:rsid w:val="004B0665"/>
    <w:rsid w:val="004B7AF8"/>
    <w:rsid w:val="004C48CE"/>
    <w:rsid w:val="004D01B1"/>
    <w:rsid w:val="004D36E6"/>
    <w:rsid w:val="004F217F"/>
    <w:rsid w:val="004F3E89"/>
    <w:rsid w:val="0050461E"/>
    <w:rsid w:val="00517FBE"/>
    <w:rsid w:val="00522EBC"/>
    <w:rsid w:val="005351A9"/>
    <w:rsid w:val="0053747F"/>
    <w:rsid w:val="00544290"/>
    <w:rsid w:val="00551009"/>
    <w:rsid w:val="00570D73"/>
    <w:rsid w:val="005767F3"/>
    <w:rsid w:val="00582FC4"/>
    <w:rsid w:val="005A49B6"/>
    <w:rsid w:val="005A4BFB"/>
    <w:rsid w:val="005B70C1"/>
    <w:rsid w:val="005D3BC5"/>
    <w:rsid w:val="005E3C78"/>
    <w:rsid w:val="006362D3"/>
    <w:rsid w:val="00656E12"/>
    <w:rsid w:val="0065719C"/>
    <w:rsid w:val="00670E07"/>
    <w:rsid w:val="00685298"/>
    <w:rsid w:val="00697CE5"/>
    <w:rsid w:val="006B4E0E"/>
    <w:rsid w:val="006E422F"/>
    <w:rsid w:val="006E5FD5"/>
    <w:rsid w:val="006E5FD7"/>
    <w:rsid w:val="00724E9C"/>
    <w:rsid w:val="007363D9"/>
    <w:rsid w:val="007473A0"/>
    <w:rsid w:val="0076551C"/>
    <w:rsid w:val="007964B3"/>
    <w:rsid w:val="007A763D"/>
    <w:rsid w:val="007B1A23"/>
    <w:rsid w:val="007B361F"/>
    <w:rsid w:val="007C017F"/>
    <w:rsid w:val="007F4E80"/>
    <w:rsid w:val="00804E15"/>
    <w:rsid w:val="00842E4E"/>
    <w:rsid w:val="00866B7C"/>
    <w:rsid w:val="00886859"/>
    <w:rsid w:val="00897D1F"/>
    <w:rsid w:val="008A5320"/>
    <w:rsid w:val="008F25BF"/>
    <w:rsid w:val="00935A73"/>
    <w:rsid w:val="00935D33"/>
    <w:rsid w:val="00944D2E"/>
    <w:rsid w:val="00954F1E"/>
    <w:rsid w:val="0099757A"/>
    <w:rsid w:val="009A6E03"/>
    <w:rsid w:val="009B0AAF"/>
    <w:rsid w:val="009C07CE"/>
    <w:rsid w:val="009C1CA5"/>
    <w:rsid w:val="009D7A27"/>
    <w:rsid w:val="009E48C0"/>
    <w:rsid w:val="009F1984"/>
    <w:rsid w:val="00A4043E"/>
    <w:rsid w:val="00A52EAE"/>
    <w:rsid w:val="00A53A7F"/>
    <w:rsid w:val="00A83B7A"/>
    <w:rsid w:val="00A873E6"/>
    <w:rsid w:val="00AA0169"/>
    <w:rsid w:val="00AA0EDC"/>
    <w:rsid w:val="00AB0FF0"/>
    <w:rsid w:val="00AD6CB6"/>
    <w:rsid w:val="00AE6410"/>
    <w:rsid w:val="00AF3D1D"/>
    <w:rsid w:val="00B15E41"/>
    <w:rsid w:val="00B20307"/>
    <w:rsid w:val="00B47059"/>
    <w:rsid w:val="00B5110C"/>
    <w:rsid w:val="00B56961"/>
    <w:rsid w:val="00B641F4"/>
    <w:rsid w:val="00B72434"/>
    <w:rsid w:val="00B762A0"/>
    <w:rsid w:val="00BA7224"/>
    <w:rsid w:val="00BC1349"/>
    <w:rsid w:val="00BD528C"/>
    <w:rsid w:val="00C320F0"/>
    <w:rsid w:val="00C5144A"/>
    <w:rsid w:val="00C737CF"/>
    <w:rsid w:val="00CB041C"/>
    <w:rsid w:val="00CC5CAE"/>
    <w:rsid w:val="00CD3662"/>
    <w:rsid w:val="00CE7F66"/>
    <w:rsid w:val="00CF1B2A"/>
    <w:rsid w:val="00D13AF8"/>
    <w:rsid w:val="00D61B34"/>
    <w:rsid w:val="00D92826"/>
    <w:rsid w:val="00DA2EFB"/>
    <w:rsid w:val="00DB7770"/>
    <w:rsid w:val="00DC5D04"/>
    <w:rsid w:val="00DD2D12"/>
    <w:rsid w:val="00DD72F6"/>
    <w:rsid w:val="00DF2AA8"/>
    <w:rsid w:val="00DF4C86"/>
    <w:rsid w:val="00E11DC4"/>
    <w:rsid w:val="00E376BC"/>
    <w:rsid w:val="00E74C8B"/>
    <w:rsid w:val="00E90D4E"/>
    <w:rsid w:val="00EA5A7B"/>
    <w:rsid w:val="00F07180"/>
    <w:rsid w:val="00F12FBD"/>
    <w:rsid w:val="00F13BCE"/>
    <w:rsid w:val="00F30E3A"/>
    <w:rsid w:val="00F3175F"/>
    <w:rsid w:val="00F4612B"/>
    <w:rsid w:val="00F57855"/>
    <w:rsid w:val="00F67184"/>
    <w:rsid w:val="00FC38E3"/>
    <w:rsid w:val="00FD0D10"/>
    <w:rsid w:val="00FF2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D28D"/>
  <w15:docId w15:val="{62E6F88E-B077-453E-B929-03CED89B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67F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6058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6058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36058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6058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6058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605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605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605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964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64B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964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964B3"/>
    <w:rPr>
      <w:rFonts w:asciiTheme="majorHAnsi" w:eastAsiaTheme="majorEastAsia" w:hAnsiTheme="majorHAnsi" w:cstheme="majorBidi"/>
      <w:i/>
      <w:iCs/>
      <w:color w:val="4F81BD" w:themeColor="accent1"/>
      <w:spacing w:val="15"/>
      <w:sz w:val="24"/>
      <w:szCs w:val="24"/>
    </w:rPr>
  </w:style>
  <w:style w:type="table" w:styleId="Tabellenraster">
    <w:name w:val="Table Grid"/>
    <w:basedOn w:val="NormaleTabelle"/>
    <w:uiPriority w:val="59"/>
    <w:rsid w:val="0079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0307"/>
    <w:pPr>
      <w:ind w:left="720"/>
      <w:contextualSpacing/>
    </w:pPr>
  </w:style>
  <w:style w:type="character" w:customStyle="1" w:styleId="berschrift1Zchn">
    <w:name w:val="Überschrift 1 Zchn"/>
    <w:basedOn w:val="Absatz-Standardschriftart"/>
    <w:link w:val="berschrift1"/>
    <w:uiPriority w:val="9"/>
    <w:rsid w:val="005767F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6058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6058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36058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6058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6058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6058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6058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60582"/>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7B1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A23"/>
  </w:style>
  <w:style w:type="paragraph" w:styleId="Fuzeile">
    <w:name w:val="footer"/>
    <w:basedOn w:val="Standard"/>
    <w:link w:val="FuzeileZchn"/>
    <w:uiPriority w:val="99"/>
    <w:unhideWhenUsed/>
    <w:rsid w:val="007B1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A23"/>
  </w:style>
  <w:style w:type="paragraph" w:styleId="Sprechblasentext">
    <w:name w:val="Balloon Text"/>
    <w:basedOn w:val="Standard"/>
    <w:link w:val="SprechblasentextZchn"/>
    <w:uiPriority w:val="99"/>
    <w:semiHidden/>
    <w:unhideWhenUsed/>
    <w:rsid w:val="007B1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A23"/>
    <w:rPr>
      <w:rFonts w:ascii="Tahoma" w:hAnsi="Tahoma" w:cs="Tahoma"/>
      <w:sz w:val="16"/>
      <w:szCs w:val="16"/>
    </w:rPr>
  </w:style>
  <w:style w:type="paragraph" w:styleId="Funotentext">
    <w:name w:val="footnote text"/>
    <w:basedOn w:val="Standard"/>
    <w:link w:val="FunotentextZchn"/>
    <w:uiPriority w:val="99"/>
    <w:semiHidden/>
    <w:unhideWhenUsed/>
    <w:rsid w:val="00DA2E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2EFB"/>
    <w:rPr>
      <w:sz w:val="20"/>
      <w:szCs w:val="20"/>
    </w:rPr>
  </w:style>
  <w:style w:type="character" w:styleId="Funotenzeichen">
    <w:name w:val="footnote reference"/>
    <w:basedOn w:val="Absatz-Standardschriftart"/>
    <w:uiPriority w:val="99"/>
    <w:semiHidden/>
    <w:unhideWhenUsed/>
    <w:rsid w:val="00DA2EFB"/>
    <w:rPr>
      <w:vertAlign w:val="superscript"/>
    </w:rPr>
  </w:style>
  <w:style w:type="character" w:styleId="Kommentarzeichen">
    <w:name w:val="annotation reference"/>
    <w:basedOn w:val="Absatz-Standardschriftart"/>
    <w:uiPriority w:val="99"/>
    <w:semiHidden/>
    <w:unhideWhenUsed/>
    <w:rsid w:val="00AD6CB6"/>
    <w:rPr>
      <w:sz w:val="16"/>
      <w:szCs w:val="16"/>
    </w:rPr>
  </w:style>
  <w:style w:type="paragraph" w:styleId="Kommentartext">
    <w:name w:val="annotation text"/>
    <w:basedOn w:val="Standard"/>
    <w:link w:val="KommentartextZchn"/>
    <w:uiPriority w:val="99"/>
    <w:semiHidden/>
    <w:unhideWhenUsed/>
    <w:rsid w:val="00AD6C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CB6"/>
    <w:rPr>
      <w:sz w:val="20"/>
      <w:szCs w:val="20"/>
    </w:rPr>
  </w:style>
  <w:style w:type="paragraph" w:styleId="Kommentarthema">
    <w:name w:val="annotation subject"/>
    <w:basedOn w:val="Kommentartext"/>
    <w:next w:val="Kommentartext"/>
    <w:link w:val="KommentarthemaZchn"/>
    <w:uiPriority w:val="99"/>
    <w:semiHidden/>
    <w:unhideWhenUsed/>
    <w:rsid w:val="00AD6CB6"/>
    <w:rPr>
      <w:b/>
      <w:bCs/>
    </w:rPr>
  </w:style>
  <w:style w:type="character" w:customStyle="1" w:styleId="KommentarthemaZchn">
    <w:name w:val="Kommentarthema Zchn"/>
    <w:basedOn w:val="KommentartextZchn"/>
    <w:link w:val="Kommentarthema"/>
    <w:uiPriority w:val="99"/>
    <w:semiHidden/>
    <w:rsid w:val="00AD6CB6"/>
    <w:rPr>
      <w:b/>
      <w:bCs/>
      <w:sz w:val="20"/>
      <w:szCs w:val="20"/>
    </w:rPr>
  </w:style>
  <w:style w:type="character" w:styleId="Hyperlink">
    <w:name w:val="Hyperlink"/>
    <w:basedOn w:val="Absatz-Standardschriftart"/>
    <w:uiPriority w:val="99"/>
    <w:semiHidden/>
    <w:unhideWhenUsed/>
    <w:rsid w:val="00582F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1295">
      <w:bodyDiv w:val="1"/>
      <w:marLeft w:val="0"/>
      <w:marRight w:val="0"/>
      <w:marTop w:val="0"/>
      <w:marBottom w:val="0"/>
      <w:divBdr>
        <w:top w:val="none" w:sz="0" w:space="0" w:color="auto"/>
        <w:left w:val="none" w:sz="0" w:space="0" w:color="auto"/>
        <w:bottom w:val="none" w:sz="0" w:space="0" w:color="auto"/>
        <w:right w:val="none" w:sz="0" w:space="0" w:color="auto"/>
      </w:divBdr>
    </w:div>
    <w:div w:id="17277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BB6B-DD08-43ED-B1CB-509B5F04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8471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Röhrig</dc:creator>
  <cp:lastModifiedBy>Carola Alvarez Castillo (UOL)</cp:lastModifiedBy>
  <cp:revision>6</cp:revision>
  <cp:lastPrinted>2017-02-10T09:46:00Z</cp:lastPrinted>
  <dcterms:created xsi:type="dcterms:W3CDTF">2022-07-12T05:13:00Z</dcterms:created>
  <dcterms:modified xsi:type="dcterms:W3CDTF">2022-07-20T11:00:00Z</dcterms:modified>
</cp:coreProperties>
</file>